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160" w:firstLineChars="50"/>
        <w:jc w:val="center"/>
        <w:rPr>
          <w:rFonts w:ascii="黑体" w:hAnsi="黑体" w:eastAsia="黑体" w:cs="Times New Roman"/>
          <w:sz w:val="32"/>
          <w:szCs w:val="32"/>
        </w:rPr>
      </w:pPr>
      <w:r>
        <w:rPr>
          <w:rFonts w:ascii="黑体" w:hAnsi="黑体" w:eastAsia="黑体" w:cs="黑体"/>
          <w:sz w:val="32"/>
          <w:szCs w:val="32"/>
        </w:rPr>
        <w:t>201</w:t>
      </w:r>
      <w:r>
        <w:rPr>
          <w:rFonts w:hint="eastAsia" w:ascii="黑体" w:hAnsi="黑体" w:eastAsia="黑体" w:cs="黑体"/>
          <w:sz w:val="32"/>
          <w:szCs w:val="32"/>
        </w:rPr>
        <w:t>8年材料科学与工程学院学位型博士研究生招生方案</w:t>
      </w:r>
    </w:p>
    <w:p>
      <w:pPr>
        <w:spacing w:before="156" w:beforeLines="50" w:line="312" w:lineRule="auto"/>
        <w:ind w:firstLine="480" w:firstLineChars="200"/>
        <w:rPr>
          <w:rFonts w:ascii="宋体" w:cs="Times New Roman"/>
          <w:sz w:val="24"/>
          <w:szCs w:val="24"/>
        </w:rPr>
      </w:pPr>
      <w:r>
        <w:rPr>
          <w:rFonts w:hint="eastAsia" w:ascii="宋体" w:hAnsi="宋体" w:cs="宋体"/>
          <w:sz w:val="24"/>
          <w:szCs w:val="24"/>
        </w:rPr>
        <w:t>根据学校“关于公布《同济大学授予同等学力工学博士学位工作细则（试行）》的通知”，经材料科学与工程学院学位评定分委会和学院党政联席会讨论决定，我院</w:t>
      </w:r>
      <w:r>
        <w:rPr>
          <w:rFonts w:ascii="宋体" w:hAnsi="宋体" w:cs="宋体"/>
          <w:sz w:val="24"/>
          <w:szCs w:val="24"/>
        </w:rPr>
        <w:t>201</w:t>
      </w:r>
      <w:r>
        <w:rPr>
          <w:rFonts w:hint="eastAsia" w:ascii="宋体" w:hAnsi="宋体" w:cs="宋体"/>
          <w:sz w:val="24"/>
          <w:szCs w:val="24"/>
        </w:rPr>
        <w:t>8年进行</w:t>
      </w:r>
      <w:r>
        <w:rPr>
          <w:rFonts w:hint="eastAsia" w:ascii="宋体" w:hAnsi="宋体" w:cs="宋体"/>
          <w:b/>
          <w:bCs/>
          <w:sz w:val="24"/>
          <w:szCs w:val="24"/>
        </w:rPr>
        <w:t>学位型博士研究生（只有博士学位证书，没有博士毕业证书）</w:t>
      </w:r>
      <w:r>
        <w:rPr>
          <w:rFonts w:hint="eastAsia" w:ascii="宋体" w:hAnsi="宋体" w:cs="宋体"/>
          <w:sz w:val="24"/>
          <w:szCs w:val="24"/>
        </w:rPr>
        <w:t>的招生工作。</w:t>
      </w:r>
    </w:p>
    <w:p>
      <w:pPr>
        <w:adjustRightInd w:val="0"/>
        <w:snapToGrid w:val="0"/>
        <w:spacing w:line="312" w:lineRule="auto"/>
        <w:ind w:firstLine="600" w:firstLineChars="250"/>
        <w:rPr>
          <w:rFonts w:ascii="宋体" w:hAnsi="宋体" w:cs="宋体"/>
          <w:sz w:val="24"/>
          <w:szCs w:val="24"/>
        </w:rPr>
      </w:pPr>
      <w:r>
        <w:rPr>
          <w:rFonts w:hint="eastAsia" w:ascii="宋体" w:hAnsi="宋体" w:cs="宋体"/>
          <w:sz w:val="24"/>
          <w:szCs w:val="24"/>
        </w:rPr>
        <w:t>本年度招生对象：在教学、科研、专门技术、管理等方面做出优秀成绩，具有博士研究生毕业同等学力，其学术水平或专门技术水平基本达到《同济大学学位授予工作细则》规定的学术水平标准者。</w:t>
      </w:r>
    </w:p>
    <w:p>
      <w:pPr>
        <w:spacing w:before="156" w:beforeLines="50"/>
        <w:jc w:val="left"/>
        <w:outlineLvl w:val="0"/>
        <w:rPr>
          <w:rFonts w:ascii="宋体" w:cs="Times New Roman"/>
          <w:sz w:val="24"/>
          <w:szCs w:val="24"/>
        </w:rPr>
      </w:pPr>
      <w:r>
        <w:rPr>
          <w:rFonts w:hint="eastAsia" w:ascii="宋体" w:hAnsi="宋体" w:cs="宋体"/>
          <w:sz w:val="24"/>
          <w:szCs w:val="24"/>
        </w:rPr>
        <w:t>一．申请条件</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1.拥护中国共产党的领导，愿意为祖国建设服务，品德良好，遵纪守法。</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2.申请人必须已获得硕士学位（含学术型学位和专业学位），并在获得硕士学位后工作至少5年（含5年）。</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3.身体健康状况良好、有充裕的时间，可以完成博士研究生的学业要求。</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 xml:space="preserve">4.申请人应在教学、科研、专门技术、管理等领域做出突出成绩，截止申请日近5年来在申请学位的相关学科领域独立发表过高水平的学术论文，或出版过高水平的专著，或科研成果获得省部级、国家级奖励。 </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1）工程技术领域骨干，并在工作中成绩突出；</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2）以第一权利人获得国家技术发明专利或软件著作2项及以上；</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3）以第一作者或通讯作者在国内外学术期刊发表高水平文章2篇及以上，其中被EI或SCI检索1篇；</w:t>
      </w:r>
    </w:p>
    <w:p>
      <w:pPr>
        <w:adjustRightInd w:val="0"/>
        <w:snapToGrid w:val="0"/>
        <w:spacing w:line="360" w:lineRule="auto"/>
        <w:ind w:firstLine="420"/>
        <w:jc w:val="left"/>
        <w:rPr>
          <w:rFonts w:ascii="宋体" w:hAnsi="宋体" w:cs="宋体"/>
          <w:sz w:val="24"/>
          <w:szCs w:val="24"/>
        </w:rPr>
      </w:pPr>
      <w:r>
        <w:rPr>
          <w:rFonts w:hint="eastAsia" w:ascii="宋体" w:hAnsi="宋体" w:cs="宋体"/>
          <w:sz w:val="24"/>
          <w:szCs w:val="24"/>
        </w:rPr>
        <w:t>4）专家综合考核组认定具有发展潜质的优秀人才。</w:t>
      </w:r>
    </w:p>
    <w:p>
      <w:pPr>
        <w:adjustRightInd w:val="0"/>
        <w:snapToGrid w:val="0"/>
        <w:spacing w:line="312" w:lineRule="auto"/>
        <w:rPr>
          <w:rFonts w:ascii="宋体" w:cs="Times New Roman"/>
          <w:sz w:val="24"/>
          <w:szCs w:val="24"/>
        </w:rPr>
      </w:pPr>
      <w:r>
        <w:rPr>
          <w:rFonts w:hint="eastAsia" w:ascii="宋体" w:hAnsi="宋体" w:cs="宋体"/>
          <w:sz w:val="24"/>
          <w:szCs w:val="24"/>
        </w:rPr>
        <w:t>二．申请及报名：</w:t>
      </w:r>
    </w:p>
    <w:p>
      <w:pPr>
        <w:adjustRightInd w:val="0"/>
        <w:snapToGrid w:val="0"/>
        <w:spacing w:line="360" w:lineRule="auto"/>
        <w:ind w:firstLine="600" w:firstLineChars="250"/>
        <w:jc w:val="left"/>
        <w:rPr>
          <w:rFonts w:ascii="宋体" w:hAnsi="宋体" w:cs="宋体"/>
          <w:sz w:val="24"/>
          <w:szCs w:val="24"/>
        </w:rPr>
      </w:pPr>
      <w:r>
        <w:rPr>
          <w:rFonts w:hint="eastAsia" w:ascii="宋体" w:hAnsi="宋体" w:cs="宋体"/>
          <w:sz w:val="24"/>
          <w:szCs w:val="24"/>
        </w:rPr>
        <w:t>具备条件的申请人，于</w:t>
      </w:r>
      <w:r>
        <w:rPr>
          <w:rFonts w:hint="eastAsia" w:ascii="宋体" w:hAnsi="宋体" w:cs="宋体"/>
          <w:color w:val="FF0000"/>
          <w:sz w:val="24"/>
          <w:szCs w:val="24"/>
        </w:rPr>
        <w:t>学校规定时间</w:t>
      </w:r>
      <w:r>
        <w:rPr>
          <w:rFonts w:hint="eastAsia" w:ascii="宋体" w:hAnsi="宋体" w:cs="宋体"/>
          <w:sz w:val="24"/>
          <w:szCs w:val="24"/>
        </w:rPr>
        <w:t>前提出博士学位资格审查申请，并提交以下申请材料（按顺序将复印件装订成册，原件备查）。</w:t>
      </w:r>
    </w:p>
    <w:p>
      <w:pPr>
        <w:pStyle w:val="3"/>
        <w:ind w:firstLine="472" w:firstLineChars="196"/>
        <w:rPr>
          <w:rFonts w:hAnsi="宋体"/>
          <w:sz w:val="24"/>
          <w:szCs w:val="24"/>
        </w:rPr>
      </w:pPr>
      <w:r>
        <w:rPr>
          <w:rFonts w:hint="eastAsia" w:hAnsi="宋体"/>
          <w:b/>
          <w:sz w:val="24"/>
          <w:szCs w:val="24"/>
        </w:rPr>
        <w:t>1</w:t>
      </w:r>
      <w:r>
        <w:rPr>
          <w:rFonts w:hint="eastAsia" w:hAnsi="宋体"/>
          <w:b/>
          <w:bCs/>
          <w:sz w:val="24"/>
          <w:szCs w:val="24"/>
        </w:rPr>
        <w:t>．网上报名</w:t>
      </w:r>
    </w:p>
    <w:p>
      <w:pPr>
        <w:pStyle w:val="3"/>
        <w:ind w:firstLine="480" w:firstLineChars="200"/>
        <w:rPr>
          <w:rFonts w:hAnsi="宋体"/>
          <w:sz w:val="24"/>
          <w:szCs w:val="24"/>
        </w:rPr>
      </w:pPr>
      <w:r>
        <w:rPr>
          <w:rFonts w:hint="eastAsia" w:hAnsi="宋体"/>
          <w:sz w:val="24"/>
          <w:szCs w:val="24"/>
        </w:rPr>
        <w:t>登陆同济大学研究生招生系统（</w:t>
      </w:r>
      <w:r>
        <w:rPr>
          <w:rFonts w:hAnsi="宋体" w:cs="Times New Roman"/>
          <w:sz w:val="24"/>
          <w:szCs w:val="24"/>
        </w:rPr>
        <w:t>http://</w:t>
      </w:r>
      <w:r>
        <w:rPr>
          <w:rFonts w:hint="eastAsia" w:hAnsi="宋体" w:cs="Times New Roman"/>
          <w:sz w:val="24"/>
          <w:szCs w:val="24"/>
        </w:rPr>
        <w:t>yjszs</w:t>
      </w:r>
      <w:r>
        <w:rPr>
          <w:rFonts w:hAnsi="宋体" w:cs="Times New Roman"/>
          <w:sz w:val="24"/>
          <w:szCs w:val="24"/>
        </w:rPr>
        <w:t>.tongji.edu.cn</w:t>
      </w:r>
      <w:r>
        <w:rPr>
          <w:rFonts w:hint="eastAsia" w:hAnsi="宋体" w:cs="Times New Roman"/>
          <w:sz w:val="24"/>
          <w:szCs w:val="24"/>
        </w:rPr>
        <w:t>）如实完整</w:t>
      </w:r>
      <w:r>
        <w:rPr>
          <w:rFonts w:hint="eastAsia" w:hAnsi="宋体"/>
          <w:sz w:val="24"/>
          <w:szCs w:val="24"/>
        </w:rPr>
        <w:t>填写报名信息（考试方式选择“</w:t>
      </w:r>
      <w:r>
        <w:rPr>
          <w:rFonts w:hint="eastAsia" w:hAnsi="宋体"/>
          <w:b/>
          <w:sz w:val="24"/>
          <w:szCs w:val="24"/>
        </w:rPr>
        <w:t>学位型博士</w:t>
      </w:r>
      <w:r>
        <w:rPr>
          <w:rFonts w:hint="eastAsia" w:hAnsi="宋体"/>
          <w:sz w:val="24"/>
          <w:szCs w:val="24"/>
        </w:rPr>
        <w:t>”），同时在</w:t>
      </w:r>
      <w:r>
        <w:rPr>
          <w:rFonts w:hAnsi="宋体"/>
          <w:sz w:val="24"/>
          <w:szCs w:val="24"/>
        </w:rPr>
        <w:t>报名系统</w:t>
      </w:r>
      <w:r>
        <w:rPr>
          <w:rFonts w:hint="eastAsia" w:hAnsi="宋体"/>
          <w:sz w:val="24"/>
          <w:szCs w:val="24"/>
        </w:rPr>
        <w:t>相应</w:t>
      </w:r>
      <w:r>
        <w:rPr>
          <w:rFonts w:hAnsi="宋体"/>
          <w:sz w:val="24"/>
          <w:szCs w:val="24"/>
        </w:rPr>
        <w:t>位置上传</w:t>
      </w:r>
      <w:r>
        <w:rPr>
          <w:rFonts w:hint="eastAsia" w:hAnsi="宋体"/>
          <w:sz w:val="24"/>
          <w:szCs w:val="24"/>
        </w:rPr>
        <w:t>下述</w:t>
      </w:r>
      <w:r>
        <w:rPr>
          <w:rFonts w:hAnsi="宋体"/>
          <w:sz w:val="24"/>
          <w:szCs w:val="24"/>
        </w:rPr>
        <w:t>材料：</w:t>
      </w:r>
    </w:p>
    <w:p>
      <w:pPr>
        <w:pStyle w:val="3"/>
        <w:ind w:left="420"/>
        <w:rPr>
          <w:rFonts w:hAnsi="宋体"/>
          <w:sz w:val="24"/>
          <w:szCs w:val="24"/>
        </w:rPr>
      </w:pPr>
      <w:r>
        <w:rPr>
          <w:rFonts w:hint="eastAsia" w:hAnsi="宋体"/>
          <w:sz w:val="24"/>
          <w:szCs w:val="24"/>
        </w:rPr>
        <w:t>（1</w:t>
      </w:r>
      <w:r>
        <w:rPr>
          <w:rFonts w:hAnsi="宋体"/>
          <w:sz w:val="24"/>
          <w:szCs w:val="24"/>
        </w:rPr>
        <w:t>）</w:t>
      </w:r>
      <w:r>
        <w:rPr>
          <w:rFonts w:hint="eastAsia" w:hAnsi="宋体"/>
          <w:sz w:val="24"/>
          <w:szCs w:val="24"/>
        </w:rPr>
        <w:t>报名照片</w:t>
      </w:r>
    </w:p>
    <w:p>
      <w:pPr>
        <w:pStyle w:val="3"/>
        <w:ind w:firstLine="480" w:firstLineChars="200"/>
        <w:rPr>
          <w:rFonts w:hAnsi="宋体"/>
          <w:sz w:val="24"/>
          <w:szCs w:val="24"/>
        </w:rPr>
      </w:pPr>
      <w:r>
        <w:rPr>
          <w:rFonts w:hint="eastAsia" w:hAnsi="宋体"/>
          <w:sz w:val="24"/>
          <w:szCs w:val="24"/>
        </w:rPr>
        <w:t>上传的报名照片必须为</w:t>
      </w:r>
      <w:r>
        <w:rPr>
          <w:rFonts w:hint="eastAsia" w:hAnsi="宋体"/>
          <w:b/>
          <w:sz w:val="24"/>
          <w:szCs w:val="24"/>
        </w:rPr>
        <w:t>标准证件近照</w:t>
      </w:r>
      <w:r>
        <w:rPr>
          <w:rFonts w:hint="eastAsia" w:hAnsi="宋体"/>
          <w:sz w:val="24"/>
          <w:szCs w:val="24"/>
        </w:rPr>
        <w:t xml:space="preserve">， </w:t>
      </w:r>
      <w:r>
        <w:rPr>
          <w:rFonts w:hAnsi="宋体"/>
          <w:sz w:val="24"/>
          <w:szCs w:val="24"/>
        </w:rPr>
        <w:t>JPG</w:t>
      </w:r>
      <w:r>
        <w:rPr>
          <w:rFonts w:hint="eastAsia" w:hAnsi="宋体"/>
          <w:sz w:val="24"/>
          <w:szCs w:val="24"/>
        </w:rPr>
        <w:t>格式，</w:t>
      </w:r>
      <w:r>
        <w:rPr>
          <w:rFonts w:hAnsi="宋体"/>
          <w:sz w:val="24"/>
          <w:szCs w:val="24"/>
        </w:rPr>
        <w:t>150×200</w:t>
      </w:r>
      <w:r>
        <w:rPr>
          <w:rFonts w:hint="eastAsia" w:hAnsi="宋体"/>
          <w:sz w:val="24"/>
          <w:szCs w:val="24"/>
        </w:rPr>
        <w:t>像素，大小</w:t>
      </w:r>
      <w:r>
        <w:rPr>
          <w:rFonts w:hAnsi="宋体"/>
          <w:sz w:val="24"/>
          <w:szCs w:val="24"/>
        </w:rPr>
        <w:t>30K</w:t>
      </w:r>
      <w:r>
        <w:rPr>
          <w:rFonts w:hint="eastAsia" w:hAnsi="宋体"/>
          <w:sz w:val="24"/>
          <w:szCs w:val="24"/>
        </w:rPr>
        <w:t>以内，白色或浅蓝色背景。照片尺寸修改请参照</w:t>
      </w:r>
      <w:r>
        <w:rPr>
          <w:rFonts w:hint="eastAsia" w:hAnsi="宋体"/>
          <w:b/>
          <w:sz w:val="24"/>
          <w:szCs w:val="24"/>
        </w:rPr>
        <w:t>图片处理帮助</w:t>
      </w:r>
      <w:r>
        <w:rPr>
          <w:rFonts w:hint="eastAsia" w:hAnsi="宋体"/>
          <w:sz w:val="24"/>
          <w:szCs w:val="24"/>
        </w:rPr>
        <w:t>。该报名照片将用作准考证、录取通知书、入学后学籍管理、档案材料以及在校证件等用途，请认真准备。如因照片模糊、年限较长或其他不合要求的因素，造成考生不能参加考试的情况，后果由考生本人负责。</w:t>
      </w:r>
    </w:p>
    <w:p>
      <w:pPr>
        <w:pStyle w:val="3"/>
        <w:ind w:left="420"/>
        <w:rPr>
          <w:rFonts w:hAnsi="宋体"/>
          <w:sz w:val="24"/>
          <w:szCs w:val="24"/>
        </w:rPr>
      </w:pPr>
      <w:r>
        <w:rPr>
          <w:rFonts w:hint="eastAsia" w:hAnsi="宋体"/>
          <w:sz w:val="24"/>
          <w:szCs w:val="24"/>
        </w:rPr>
        <w:t>（2</w:t>
      </w:r>
      <w:r>
        <w:rPr>
          <w:rFonts w:hAnsi="宋体"/>
          <w:sz w:val="24"/>
          <w:szCs w:val="24"/>
        </w:rPr>
        <w:t>）硕士学位证书</w:t>
      </w:r>
    </w:p>
    <w:p>
      <w:pPr>
        <w:pStyle w:val="3"/>
        <w:ind w:firstLine="480" w:firstLineChars="200"/>
        <w:rPr>
          <w:rFonts w:hAnsi="宋体"/>
          <w:sz w:val="24"/>
          <w:szCs w:val="24"/>
        </w:rPr>
      </w:pPr>
      <w:r>
        <w:rPr>
          <w:rFonts w:hint="eastAsia" w:hAnsi="宋体"/>
          <w:sz w:val="24"/>
          <w:szCs w:val="24"/>
        </w:rPr>
        <w:t>须上传学位证书扫描件，在境外获得硕士学位的考生用教育部留学服务中心出具的认证书扫描件代替学位证书。</w:t>
      </w:r>
    </w:p>
    <w:p>
      <w:pPr>
        <w:pStyle w:val="3"/>
        <w:ind w:firstLine="480" w:firstLineChars="200"/>
        <w:rPr>
          <w:rFonts w:hAnsi="宋体"/>
          <w:sz w:val="24"/>
          <w:szCs w:val="24"/>
        </w:rPr>
      </w:pPr>
      <w:r>
        <w:rPr>
          <w:rFonts w:hint="eastAsia" w:hAnsi="宋体"/>
          <w:sz w:val="24"/>
          <w:szCs w:val="24"/>
        </w:rPr>
        <w:t>（3</w:t>
      </w:r>
      <w:r>
        <w:rPr>
          <w:rFonts w:hAnsi="宋体"/>
          <w:sz w:val="24"/>
          <w:szCs w:val="24"/>
        </w:rPr>
        <w:t>）申请</w:t>
      </w:r>
      <w:r>
        <w:rPr>
          <w:rFonts w:hint="eastAsia" w:hAnsi="宋体"/>
          <w:sz w:val="24"/>
          <w:szCs w:val="24"/>
        </w:rPr>
        <w:t>材料</w:t>
      </w:r>
    </w:p>
    <w:p>
      <w:pPr>
        <w:pStyle w:val="3"/>
        <w:ind w:firstLine="480" w:firstLineChars="200"/>
        <w:rPr>
          <w:rFonts w:hAnsi="宋体"/>
          <w:sz w:val="24"/>
          <w:szCs w:val="24"/>
        </w:rPr>
      </w:pPr>
      <w:r>
        <w:rPr>
          <w:rFonts w:hint="eastAsia" w:hAnsi="宋体"/>
          <w:sz w:val="24"/>
          <w:szCs w:val="24"/>
        </w:rPr>
        <w:t>按照下面“</w:t>
      </w:r>
      <w:r>
        <w:rPr>
          <w:rFonts w:hAnsi="宋体"/>
          <w:b/>
          <w:sz w:val="24"/>
          <w:szCs w:val="24"/>
        </w:rPr>
        <w:t>申请材料提交</w:t>
      </w:r>
      <w:r>
        <w:rPr>
          <w:rFonts w:hint="eastAsia" w:hAnsi="宋体"/>
          <w:sz w:val="24"/>
          <w:szCs w:val="24"/>
        </w:rPr>
        <w:t>”中的</w:t>
      </w:r>
      <w:r>
        <w:rPr>
          <w:rFonts w:hAnsi="宋体"/>
          <w:sz w:val="24"/>
          <w:szCs w:val="24"/>
        </w:rPr>
        <w:t>要求，</w:t>
      </w:r>
      <w:r>
        <w:rPr>
          <w:rFonts w:hint="eastAsia" w:hAnsi="宋体"/>
          <w:sz w:val="24"/>
          <w:szCs w:val="24"/>
        </w:rPr>
        <w:t>将</w:t>
      </w:r>
      <w:r>
        <w:rPr>
          <w:rFonts w:hAnsi="宋体"/>
          <w:sz w:val="24"/>
          <w:szCs w:val="24"/>
        </w:rPr>
        <w:t>申请</w:t>
      </w:r>
      <w:r>
        <w:rPr>
          <w:rFonts w:hint="eastAsia" w:hAnsi="宋体"/>
          <w:sz w:val="24"/>
          <w:szCs w:val="24"/>
        </w:rPr>
        <w:t>材料</w:t>
      </w:r>
      <w:r>
        <w:rPr>
          <w:rFonts w:hAnsi="宋体"/>
          <w:sz w:val="24"/>
          <w:szCs w:val="24"/>
        </w:rPr>
        <w:t>按照要求的顺序</w:t>
      </w:r>
      <w:r>
        <w:rPr>
          <w:rFonts w:hint="eastAsia" w:hAnsi="宋体"/>
          <w:sz w:val="24"/>
          <w:szCs w:val="24"/>
        </w:rPr>
        <w:t>合并</w:t>
      </w:r>
      <w:r>
        <w:rPr>
          <w:rFonts w:hAnsi="宋体"/>
          <w:sz w:val="24"/>
          <w:szCs w:val="24"/>
        </w:rPr>
        <w:t>成一个不大于</w:t>
      </w:r>
      <w:r>
        <w:rPr>
          <w:rFonts w:hint="eastAsia" w:hAnsi="宋体"/>
          <w:sz w:val="24"/>
          <w:szCs w:val="24"/>
        </w:rPr>
        <w:t>25</w:t>
      </w:r>
      <w:r>
        <w:rPr>
          <w:rFonts w:hAnsi="宋体"/>
          <w:sz w:val="24"/>
          <w:szCs w:val="24"/>
        </w:rPr>
        <w:t>M的</w:t>
      </w:r>
      <w:r>
        <w:rPr>
          <w:rFonts w:hint="eastAsia" w:hAnsi="宋体"/>
          <w:sz w:val="24"/>
          <w:szCs w:val="24"/>
        </w:rPr>
        <w:t>独立</w:t>
      </w:r>
      <w:r>
        <w:rPr>
          <w:rFonts w:hAnsi="宋体"/>
          <w:sz w:val="24"/>
          <w:szCs w:val="24"/>
        </w:rPr>
        <w:t>PDF</w:t>
      </w:r>
      <w:r>
        <w:rPr>
          <w:rFonts w:hint="eastAsia" w:hAnsi="宋体"/>
          <w:sz w:val="24"/>
          <w:szCs w:val="24"/>
        </w:rPr>
        <w:t>格式</w:t>
      </w:r>
      <w:r>
        <w:rPr>
          <w:rFonts w:hAnsi="宋体"/>
          <w:sz w:val="24"/>
          <w:szCs w:val="24"/>
        </w:rPr>
        <w:t>文件</w:t>
      </w:r>
      <w:r>
        <w:rPr>
          <w:rFonts w:hint="eastAsia" w:hAnsi="宋体"/>
          <w:sz w:val="24"/>
          <w:szCs w:val="24"/>
        </w:rPr>
        <w:t>，压缩成ZIP格式文件，</w:t>
      </w:r>
      <w:r>
        <w:rPr>
          <w:rFonts w:hAnsi="宋体"/>
          <w:sz w:val="24"/>
          <w:szCs w:val="24"/>
        </w:rPr>
        <w:t>在系统</w:t>
      </w:r>
      <w:r>
        <w:rPr>
          <w:rFonts w:hint="eastAsia" w:hAnsi="宋体"/>
          <w:sz w:val="24"/>
          <w:szCs w:val="24"/>
        </w:rPr>
        <w:t>“上传</w:t>
      </w:r>
      <w:r>
        <w:rPr>
          <w:rFonts w:hAnsi="宋体"/>
          <w:sz w:val="24"/>
          <w:szCs w:val="24"/>
        </w:rPr>
        <w:t>申请资料”</w:t>
      </w:r>
      <w:r>
        <w:rPr>
          <w:rFonts w:hint="eastAsia" w:hAnsi="宋体"/>
          <w:sz w:val="24"/>
          <w:szCs w:val="24"/>
        </w:rPr>
        <w:t>处</w:t>
      </w:r>
      <w:r>
        <w:rPr>
          <w:rFonts w:hAnsi="宋体"/>
          <w:sz w:val="24"/>
          <w:szCs w:val="24"/>
        </w:rPr>
        <w:t>上传。</w:t>
      </w:r>
    </w:p>
    <w:p>
      <w:pPr>
        <w:pStyle w:val="3"/>
        <w:ind w:firstLine="480" w:firstLineChars="200"/>
        <w:rPr>
          <w:rFonts w:hAnsi="宋体"/>
          <w:sz w:val="24"/>
          <w:szCs w:val="24"/>
        </w:rPr>
      </w:pPr>
      <w:r>
        <w:rPr>
          <w:rFonts w:hint="eastAsia" w:hAnsi="宋体"/>
          <w:sz w:val="24"/>
          <w:szCs w:val="24"/>
        </w:rPr>
        <w:t>完成</w:t>
      </w:r>
      <w:r>
        <w:rPr>
          <w:rFonts w:hAnsi="宋体"/>
          <w:sz w:val="24"/>
          <w:szCs w:val="24"/>
        </w:rPr>
        <w:t>报名信息</w:t>
      </w:r>
      <w:r>
        <w:rPr>
          <w:rFonts w:hint="eastAsia" w:hAnsi="宋体"/>
          <w:sz w:val="24"/>
          <w:szCs w:val="24"/>
        </w:rPr>
        <w:t>填写</w:t>
      </w:r>
      <w:r>
        <w:rPr>
          <w:rFonts w:hAnsi="宋体"/>
          <w:sz w:val="24"/>
          <w:szCs w:val="24"/>
        </w:rPr>
        <w:t>和</w:t>
      </w:r>
      <w:r>
        <w:rPr>
          <w:rFonts w:hint="eastAsia" w:hAnsi="宋体"/>
          <w:sz w:val="24"/>
          <w:szCs w:val="24"/>
        </w:rPr>
        <w:t>材料</w:t>
      </w:r>
      <w:r>
        <w:rPr>
          <w:rFonts w:hAnsi="宋体"/>
          <w:sz w:val="24"/>
          <w:szCs w:val="24"/>
        </w:rPr>
        <w:t>上传</w:t>
      </w:r>
      <w:r>
        <w:rPr>
          <w:rFonts w:hint="eastAsia" w:hAnsi="宋体"/>
          <w:sz w:val="24"/>
          <w:szCs w:val="24"/>
        </w:rPr>
        <w:t>后</w:t>
      </w:r>
      <w:r>
        <w:rPr>
          <w:rFonts w:hAnsi="宋体"/>
          <w:sz w:val="24"/>
          <w:szCs w:val="24"/>
        </w:rPr>
        <w:t>，</w:t>
      </w:r>
      <w:r>
        <w:rPr>
          <w:rFonts w:hint="eastAsia" w:hAnsi="宋体"/>
          <w:sz w:val="24"/>
          <w:szCs w:val="24"/>
        </w:rPr>
        <w:t>确认提交。提交后，打印《同济大学2018年攻读博士学位研究生报名登记表》。</w:t>
      </w:r>
    </w:p>
    <w:p>
      <w:pPr>
        <w:pStyle w:val="3"/>
        <w:ind w:firstLine="482" w:firstLineChars="200"/>
        <w:rPr>
          <w:rFonts w:hAnsi="宋体"/>
          <w:b/>
          <w:bCs/>
          <w:sz w:val="24"/>
          <w:szCs w:val="24"/>
        </w:rPr>
      </w:pPr>
      <w:bookmarkStart w:id="0" w:name="2"/>
      <w:bookmarkEnd w:id="0"/>
      <w:r>
        <w:rPr>
          <w:rFonts w:hint="eastAsia" w:hAnsi="宋体"/>
          <w:b/>
          <w:bCs/>
          <w:sz w:val="24"/>
          <w:szCs w:val="24"/>
        </w:rPr>
        <w:t>2．填写资格审查表</w:t>
      </w:r>
    </w:p>
    <w:p>
      <w:pPr>
        <w:ind w:firstLine="480" w:firstLineChars="200"/>
        <w:rPr>
          <w:rFonts w:asciiTheme="minorEastAsia" w:hAnsiTheme="minorEastAsia"/>
          <w:sz w:val="24"/>
          <w:szCs w:val="24"/>
        </w:rPr>
      </w:pPr>
      <w:r>
        <w:rPr>
          <w:rFonts w:hint="eastAsia" w:asciiTheme="minorEastAsia" w:hAnsiTheme="minorEastAsia"/>
          <w:sz w:val="24"/>
          <w:szCs w:val="24"/>
        </w:rPr>
        <w:t>申请</w:t>
      </w:r>
      <w:r>
        <w:rPr>
          <w:rFonts w:asciiTheme="minorEastAsia" w:hAnsiTheme="minorEastAsia"/>
          <w:sz w:val="24"/>
          <w:szCs w:val="24"/>
        </w:rPr>
        <w:t>者在</w:t>
      </w:r>
      <w:r>
        <w:rPr>
          <w:rFonts w:hint="eastAsia" w:asciiTheme="minorEastAsia" w:hAnsiTheme="minorEastAsia"/>
          <w:sz w:val="24"/>
          <w:szCs w:val="24"/>
        </w:rPr>
        <w:t>2018年</w:t>
      </w:r>
      <w:r>
        <w:rPr>
          <w:rFonts w:asciiTheme="minorEastAsia" w:hAnsiTheme="minorEastAsia"/>
          <w:sz w:val="24"/>
          <w:szCs w:val="24"/>
        </w:rPr>
        <w:t>3</w:t>
      </w:r>
      <w:r>
        <w:rPr>
          <w:rFonts w:hint="eastAsia" w:asciiTheme="minorEastAsia" w:hAnsiTheme="minorEastAsia"/>
          <w:sz w:val="24"/>
          <w:szCs w:val="24"/>
        </w:rPr>
        <w:t>月10日</w:t>
      </w:r>
      <w:r>
        <w:rPr>
          <w:rFonts w:asciiTheme="minorEastAsia" w:hAnsiTheme="minorEastAsia"/>
          <w:sz w:val="24"/>
          <w:szCs w:val="24"/>
        </w:rPr>
        <w:t>前</w:t>
      </w:r>
      <w:r>
        <w:rPr>
          <w:rFonts w:hint="eastAsia" w:asciiTheme="minorEastAsia" w:hAnsiTheme="minorEastAsia"/>
          <w:sz w:val="24"/>
          <w:szCs w:val="24"/>
        </w:rPr>
        <w:t>登录“同济大学研究生招生管理平台”（</w:t>
      </w:r>
      <w:r>
        <w:rPr>
          <w:rFonts w:asciiTheme="minorEastAsia" w:hAnsiTheme="minorEastAsia"/>
          <w:sz w:val="24"/>
          <w:szCs w:val="24"/>
        </w:rPr>
        <w:t>http://yjszs.tongji.edu.cn</w:t>
      </w:r>
      <w:r>
        <w:rPr>
          <w:rFonts w:hint="eastAsia" w:asciiTheme="minorEastAsia" w:hAnsiTheme="minorEastAsia"/>
          <w:sz w:val="24"/>
          <w:szCs w:val="24"/>
        </w:rPr>
        <w:t>），如实填写报名信息，完成网上报名，填写《同济大学学位型博士研究生资格审查表》(见</w:t>
      </w:r>
      <w:r>
        <w:rPr>
          <w:rFonts w:asciiTheme="minorEastAsia" w:hAnsiTheme="minorEastAsia"/>
          <w:sz w:val="24"/>
          <w:szCs w:val="24"/>
        </w:rPr>
        <w:t>附件)</w:t>
      </w:r>
      <w:r>
        <w:rPr>
          <w:rFonts w:hint="eastAsia" w:asciiTheme="minorEastAsia" w:hAnsiTheme="minorEastAsia"/>
          <w:sz w:val="24"/>
          <w:szCs w:val="24"/>
        </w:rPr>
        <w:t>。</w:t>
      </w:r>
    </w:p>
    <w:p>
      <w:pPr>
        <w:pStyle w:val="3"/>
        <w:ind w:firstLine="482" w:firstLineChars="200"/>
        <w:rPr>
          <w:rFonts w:hAnsi="宋体"/>
          <w:b/>
          <w:bCs/>
          <w:sz w:val="24"/>
          <w:szCs w:val="24"/>
        </w:rPr>
      </w:pPr>
      <w:r>
        <w:rPr>
          <w:rFonts w:hint="eastAsia" w:hAnsi="宋体"/>
          <w:b/>
          <w:bCs/>
          <w:sz w:val="24"/>
          <w:szCs w:val="24"/>
        </w:rPr>
        <w:t>申请材料提交</w:t>
      </w:r>
      <w:r>
        <w:rPr>
          <w:rFonts w:hint="eastAsia" w:hAnsi="宋体"/>
          <w:b/>
          <w:bCs w:val="0"/>
          <w:sz w:val="24"/>
          <w:szCs w:val="24"/>
        </w:rPr>
        <w:t>（按顺序组织装订</w:t>
      </w:r>
      <w:r>
        <w:rPr>
          <w:rFonts w:hAnsi="宋体"/>
          <w:b/>
          <w:bCs w:val="0"/>
          <w:sz w:val="24"/>
          <w:szCs w:val="24"/>
        </w:rPr>
        <w:t>）</w:t>
      </w:r>
      <w:r>
        <w:rPr>
          <w:rFonts w:hint="eastAsia" w:hAnsi="宋体"/>
          <w:b/>
          <w:bCs w:val="0"/>
          <w:sz w:val="24"/>
          <w:szCs w:val="24"/>
          <w:lang w:eastAsia="zh-CN"/>
        </w:rPr>
        <w:t>，</w:t>
      </w:r>
      <w:r>
        <w:rPr>
          <w:rFonts w:hint="eastAsia" w:hAnsi="宋体"/>
          <w:b/>
          <w:bCs w:val="0"/>
          <w:sz w:val="24"/>
          <w:szCs w:val="24"/>
          <w:u w:val="none"/>
          <w:lang w:val="en-US" w:eastAsia="zh-CN"/>
        </w:rPr>
        <w:t>3月20日</w:t>
      </w:r>
      <w:r>
        <w:rPr>
          <w:rFonts w:hint="eastAsia" w:hAnsi="宋体"/>
          <w:b/>
          <w:bCs w:val="0"/>
          <w:sz w:val="24"/>
          <w:szCs w:val="24"/>
          <w:lang w:val="en-US" w:eastAsia="zh-CN"/>
        </w:rPr>
        <w:t>前交学院同心楼422室</w:t>
      </w:r>
      <w:r>
        <w:rPr>
          <w:rFonts w:hint="eastAsia" w:hAnsi="宋体"/>
          <w:b/>
          <w:bCs/>
          <w:sz w:val="24"/>
          <w:szCs w:val="24"/>
        </w:rPr>
        <w:t>：</w:t>
      </w:r>
    </w:p>
    <w:p>
      <w:pPr>
        <w:ind w:firstLine="488" w:firstLineChars="200"/>
        <w:rPr>
          <w:rFonts w:ascii="宋体" w:hAnsi="宋体"/>
          <w:spacing w:val="2"/>
          <w:sz w:val="24"/>
          <w:szCs w:val="24"/>
        </w:rPr>
      </w:pPr>
      <w:r>
        <w:rPr>
          <w:rFonts w:hint="eastAsia" w:ascii="宋体" w:hAnsi="宋体"/>
          <w:spacing w:val="2"/>
          <w:sz w:val="24"/>
          <w:szCs w:val="24"/>
        </w:rPr>
        <w:t>1）</w:t>
      </w:r>
      <w:r>
        <w:rPr>
          <w:rFonts w:hint="eastAsia" w:ascii="宋体" w:hAnsi="宋体"/>
          <w:sz w:val="24"/>
          <w:szCs w:val="24"/>
        </w:rPr>
        <w:t>《同济大学2018年攻读博士学位研究生报名登记表》</w:t>
      </w:r>
      <w:r>
        <w:rPr>
          <w:rFonts w:hint="eastAsia" w:ascii="宋体" w:hAnsi="宋体"/>
          <w:spacing w:val="2"/>
          <w:sz w:val="24"/>
          <w:szCs w:val="24"/>
        </w:rPr>
        <w:t>1份（网上报名成功后下载，用A4纸打印，不用附件上传）；</w:t>
      </w:r>
    </w:p>
    <w:p>
      <w:pPr>
        <w:ind w:firstLine="488" w:firstLineChars="200"/>
        <w:rPr>
          <w:rFonts w:ascii="宋体" w:hAnsi="宋体"/>
          <w:spacing w:val="2"/>
          <w:sz w:val="24"/>
          <w:szCs w:val="24"/>
        </w:rPr>
      </w:pPr>
      <w:r>
        <w:rPr>
          <w:rFonts w:hint="eastAsia" w:ascii="宋体" w:hAnsi="宋体"/>
          <w:spacing w:val="2"/>
          <w:sz w:val="24"/>
          <w:szCs w:val="24"/>
        </w:rPr>
        <w:t>2）硕士研究生学位证书、学历证书（如有）复印件；</w:t>
      </w:r>
    </w:p>
    <w:p>
      <w:pPr>
        <w:ind w:firstLine="488" w:firstLineChars="200"/>
        <w:rPr>
          <w:rFonts w:ascii="宋体" w:hAnsi="宋体"/>
          <w:spacing w:val="2"/>
          <w:sz w:val="24"/>
          <w:szCs w:val="24"/>
        </w:rPr>
      </w:pPr>
      <w:r>
        <w:rPr>
          <w:rFonts w:ascii="宋体" w:hAnsi="宋体"/>
          <w:spacing w:val="2"/>
          <w:sz w:val="24"/>
          <w:szCs w:val="24"/>
        </w:rPr>
        <w:t>3</w:t>
      </w:r>
      <w:r>
        <w:rPr>
          <w:rFonts w:hint="eastAsia" w:ascii="宋体" w:hAnsi="宋体"/>
          <w:spacing w:val="2"/>
          <w:sz w:val="24"/>
          <w:szCs w:val="24"/>
        </w:rPr>
        <w:t>）硕士成绩单复印件；</w:t>
      </w:r>
    </w:p>
    <w:p>
      <w:pPr>
        <w:ind w:firstLine="488" w:firstLineChars="200"/>
        <w:rPr>
          <w:rFonts w:ascii="宋体" w:hAnsi="宋体"/>
          <w:spacing w:val="2"/>
          <w:sz w:val="24"/>
          <w:szCs w:val="24"/>
        </w:rPr>
      </w:pPr>
      <w:r>
        <w:rPr>
          <w:rFonts w:hint="eastAsia" w:ascii="宋体" w:hAnsi="宋体"/>
          <w:spacing w:val="2"/>
          <w:sz w:val="24"/>
          <w:szCs w:val="24"/>
        </w:rPr>
        <w:t>4）科研成果，</w:t>
      </w:r>
      <w:r>
        <w:rPr>
          <w:rFonts w:ascii="宋体" w:hAnsi="宋体"/>
          <w:spacing w:val="2"/>
          <w:sz w:val="24"/>
          <w:szCs w:val="24"/>
        </w:rPr>
        <w:t>如：</w:t>
      </w:r>
      <w:r>
        <w:rPr>
          <w:rFonts w:hint="eastAsia" w:ascii="宋体" w:hAnsi="宋体"/>
          <w:spacing w:val="2"/>
          <w:sz w:val="24"/>
          <w:szCs w:val="24"/>
        </w:rPr>
        <w:t>已获得的专利、公开发表的学术性论文或专著等复印件（论文复印件应包括期刊封面、目录及正文第一页，如论文被SCI、EI检索，需提供相应检索证明原件）等；</w:t>
      </w:r>
    </w:p>
    <w:p>
      <w:pPr>
        <w:ind w:firstLine="488" w:firstLineChars="200"/>
        <w:rPr>
          <w:rFonts w:ascii="宋体" w:hAnsi="宋体"/>
          <w:spacing w:val="2"/>
          <w:sz w:val="24"/>
          <w:szCs w:val="24"/>
        </w:rPr>
      </w:pPr>
      <w:r>
        <w:rPr>
          <w:rFonts w:hint="eastAsia" w:ascii="宋体" w:hAnsi="宋体"/>
          <w:spacing w:val="2"/>
          <w:sz w:val="24"/>
          <w:szCs w:val="24"/>
        </w:rPr>
        <w:t>5）两位本学科或相近学科的副高级或以上职称专家签名的推荐信（附件1、附件2中，用A4纸打印）；</w:t>
      </w:r>
    </w:p>
    <w:p>
      <w:pPr>
        <w:ind w:firstLine="488" w:firstLineChars="200"/>
        <w:rPr>
          <w:rFonts w:ascii="宋体" w:hAnsi="宋体" w:cs="宋体"/>
          <w:sz w:val="24"/>
          <w:szCs w:val="24"/>
        </w:rPr>
      </w:pPr>
      <w:r>
        <w:rPr>
          <w:rFonts w:hint="eastAsia" w:ascii="宋体" w:hAnsi="宋体"/>
          <w:spacing w:val="2"/>
          <w:sz w:val="24"/>
          <w:szCs w:val="24"/>
        </w:rPr>
        <w:t>6）工作单位推荐意见（附件中，用A4纸打印）。</w:t>
      </w:r>
    </w:p>
    <w:p>
      <w:pPr>
        <w:spacing w:before="156" w:beforeLines="50" w:line="312" w:lineRule="auto"/>
        <w:jc w:val="left"/>
        <w:rPr>
          <w:rFonts w:ascii="宋体" w:cs="Times New Roman"/>
          <w:sz w:val="24"/>
          <w:szCs w:val="24"/>
        </w:rPr>
      </w:pPr>
      <w:r>
        <w:rPr>
          <w:rFonts w:hint="eastAsia" w:ascii="宋体" w:hAnsi="宋体" w:cs="宋体"/>
          <w:sz w:val="24"/>
          <w:szCs w:val="24"/>
        </w:rPr>
        <w:t>三．资格审核及安排</w:t>
      </w:r>
    </w:p>
    <w:p>
      <w:pPr>
        <w:ind w:firstLine="480" w:firstLineChars="200"/>
        <w:rPr>
          <w:rFonts w:asciiTheme="minorEastAsia" w:hAnsiTheme="minorEastAsia"/>
          <w:sz w:val="24"/>
          <w:szCs w:val="24"/>
        </w:rPr>
      </w:pPr>
      <w:r>
        <w:rPr>
          <w:rFonts w:hint="eastAsia" w:asciiTheme="minorEastAsia" w:hAnsiTheme="minorEastAsia"/>
          <w:sz w:val="24"/>
          <w:szCs w:val="24"/>
        </w:rPr>
        <w:t>资格</w:t>
      </w:r>
      <w:r>
        <w:rPr>
          <w:rFonts w:asciiTheme="minorEastAsia" w:hAnsiTheme="minorEastAsia"/>
          <w:sz w:val="24"/>
          <w:szCs w:val="24"/>
        </w:rPr>
        <w:t>审查</w:t>
      </w:r>
      <w:r>
        <w:rPr>
          <w:rFonts w:hint="eastAsia" w:asciiTheme="minorEastAsia" w:hAnsiTheme="minorEastAsia"/>
          <w:sz w:val="24"/>
          <w:szCs w:val="24"/>
        </w:rPr>
        <w:t>由</w:t>
      </w:r>
      <w:r>
        <w:rPr>
          <w:rFonts w:asciiTheme="minorEastAsia" w:hAnsiTheme="minorEastAsia"/>
          <w:sz w:val="24"/>
          <w:szCs w:val="24"/>
        </w:rPr>
        <w:t>材料审核和综合审查</w:t>
      </w:r>
      <w:r>
        <w:rPr>
          <w:rFonts w:hint="eastAsia" w:asciiTheme="minorEastAsia" w:hAnsiTheme="minorEastAsia"/>
          <w:sz w:val="24"/>
          <w:szCs w:val="24"/>
        </w:rPr>
        <w:t>两个</w:t>
      </w:r>
      <w:r>
        <w:rPr>
          <w:rFonts w:asciiTheme="minorEastAsia" w:hAnsiTheme="minorEastAsia"/>
          <w:sz w:val="24"/>
          <w:szCs w:val="24"/>
        </w:rPr>
        <w:t>阶段组成。</w:t>
      </w:r>
    </w:p>
    <w:p>
      <w:pPr>
        <w:adjustRightInd w:val="0"/>
        <w:snapToGrid w:val="0"/>
        <w:spacing w:line="312" w:lineRule="auto"/>
        <w:ind w:firstLine="480" w:firstLineChars="200"/>
        <w:rPr>
          <w:rFonts w:asciiTheme="minorEastAsia" w:hAnsiTheme="minorEastAsia"/>
          <w:sz w:val="24"/>
          <w:szCs w:val="24"/>
        </w:rPr>
      </w:pPr>
      <w:r>
        <w:rPr>
          <w:rFonts w:hint="eastAsia" w:asciiTheme="minorEastAsia" w:hAnsiTheme="minorEastAsia"/>
          <w:sz w:val="24"/>
          <w:szCs w:val="24"/>
        </w:rPr>
        <w:t>1.材料审核</w:t>
      </w:r>
    </w:p>
    <w:p>
      <w:pPr>
        <w:ind w:firstLine="480" w:firstLineChars="200"/>
        <w:rPr>
          <w:rFonts w:asciiTheme="minorEastAsia" w:hAnsiTheme="minorEastAsia"/>
          <w:sz w:val="24"/>
          <w:szCs w:val="24"/>
        </w:rPr>
      </w:pPr>
      <w:r>
        <w:rPr>
          <w:rFonts w:asciiTheme="minorEastAsia" w:hAnsiTheme="minorEastAsia"/>
          <w:sz w:val="24"/>
          <w:szCs w:val="24"/>
        </w:rPr>
        <w:t>学院研究生招生领导小组</w:t>
      </w:r>
      <w:r>
        <w:rPr>
          <w:rFonts w:hint="eastAsia" w:asciiTheme="minorEastAsia" w:hAnsiTheme="minorEastAsia"/>
          <w:sz w:val="24"/>
          <w:szCs w:val="24"/>
        </w:rPr>
        <w:t>组织相关学科专家进行材料审核。</w:t>
      </w:r>
    </w:p>
    <w:p>
      <w:pPr>
        <w:adjustRightInd w:val="0"/>
        <w:snapToGrid w:val="0"/>
        <w:spacing w:line="312" w:lineRule="auto"/>
        <w:ind w:firstLine="480" w:firstLineChars="200"/>
        <w:rPr>
          <w:rFonts w:asciiTheme="minorEastAsia" w:hAnsiTheme="minorEastAsia"/>
          <w:sz w:val="24"/>
          <w:szCs w:val="24"/>
        </w:rPr>
      </w:pPr>
      <w:r>
        <w:rPr>
          <w:rFonts w:hint="eastAsia" w:asciiTheme="minorEastAsia" w:hAnsiTheme="minorEastAsia"/>
          <w:sz w:val="24"/>
          <w:szCs w:val="24"/>
        </w:rPr>
        <w:t>2.综合审查</w:t>
      </w:r>
    </w:p>
    <w:p>
      <w:pPr>
        <w:adjustRightInd w:val="0"/>
        <w:snapToGrid w:val="0"/>
        <w:spacing w:line="312" w:lineRule="auto"/>
        <w:ind w:firstLine="480" w:firstLineChars="200"/>
        <w:rPr>
          <w:rFonts w:ascii="宋体" w:hAnsi="宋体" w:cs="宋体"/>
          <w:sz w:val="24"/>
          <w:szCs w:val="24"/>
        </w:rPr>
      </w:pPr>
      <w:r>
        <w:rPr>
          <w:rFonts w:hint="eastAsia" w:asciiTheme="minorEastAsia" w:hAnsiTheme="minorEastAsia"/>
          <w:sz w:val="24"/>
          <w:szCs w:val="24"/>
        </w:rPr>
        <w:t>学院研究生</w:t>
      </w:r>
      <w:r>
        <w:rPr>
          <w:rFonts w:asciiTheme="minorEastAsia" w:hAnsiTheme="minorEastAsia"/>
          <w:sz w:val="24"/>
          <w:szCs w:val="24"/>
        </w:rPr>
        <w:t>招生领导小组</w:t>
      </w:r>
      <w:r>
        <w:rPr>
          <w:rFonts w:hint="eastAsia" w:ascii="宋体" w:hAnsi="宋体" w:cs="宋体"/>
          <w:sz w:val="24"/>
          <w:szCs w:val="24"/>
        </w:rPr>
        <w:t>将于4月底组织面试，由5至7位相关学科教授级专家组成面试专家组。</w:t>
      </w:r>
    </w:p>
    <w:p>
      <w:pPr>
        <w:adjustRightInd w:val="0"/>
        <w:snapToGrid w:val="0"/>
        <w:spacing w:line="312" w:lineRule="auto"/>
        <w:ind w:firstLine="480" w:firstLineChars="200"/>
        <w:rPr>
          <w:rFonts w:asciiTheme="minorEastAsia" w:hAnsiTheme="minorEastAsia"/>
          <w:sz w:val="24"/>
          <w:szCs w:val="24"/>
        </w:rPr>
      </w:pPr>
      <w:r>
        <w:rPr>
          <w:rFonts w:hint="eastAsia" w:asciiTheme="minorEastAsia" w:hAnsiTheme="minorEastAsia"/>
          <w:sz w:val="24"/>
          <w:szCs w:val="24"/>
        </w:rPr>
        <w:t>面试专家组以笔试和口试相结合的形式，对申请人的学术水平、理论基础、知识结构和业务能力等是否具有申请博士学位的资格进行判定，以无记名投票表决方式确定申请人是否通过审查。</w:t>
      </w:r>
    </w:p>
    <w:p>
      <w:pPr>
        <w:adjustRightInd w:val="0"/>
        <w:snapToGrid w:val="0"/>
        <w:spacing w:line="312" w:lineRule="auto"/>
        <w:ind w:firstLine="480" w:firstLineChars="200"/>
        <w:rPr>
          <w:rFonts w:asciiTheme="minorEastAsia" w:hAnsiTheme="minorEastAsia"/>
          <w:sz w:val="24"/>
          <w:szCs w:val="24"/>
        </w:rPr>
      </w:pPr>
    </w:p>
    <w:p>
      <w:pPr>
        <w:adjustRightInd w:val="0"/>
        <w:snapToGrid w:val="0"/>
        <w:spacing w:line="312" w:lineRule="auto"/>
        <w:rPr>
          <w:rFonts w:ascii="宋体" w:hAnsi="宋体" w:cs="宋体"/>
          <w:sz w:val="24"/>
          <w:szCs w:val="24"/>
        </w:rPr>
      </w:pPr>
      <w:r>
        <w:rPr>
          <w:rFonts w:hint="eastAsia" w:ascii="宋体" w:hAnsi="宋体" w:cs="宋体"/>
          <w:sz w:val="24"/>
          <w:szCs w:val="24"/>
        </w:rPr>
        <w:t>四. 录取</w:t>
      </w:r>
    </w:p>
    <w:p>
      <w:pPr>
        <w:spacing w:line="360" w:lineRule="auto"/>
        <w:ind w:firstLine="480" w:firstLineChars="200"/>
        <w:rPr>
          <w:rFonts w:ascii="宋体" w:hAnsi="宋体"/>
          <w:sz w:val="24"/>
        </w:rPr>
      </w:pPr>
      <w:r>
        <w:rPr>
          <w:rFonts w:hint="eastAsia" w:ascii="宋体" w:hAnsi="宋体"/>
          <w:sz w:val="24"/>
        </w:rPr>
        <w:t>在</w:t>
      </w:r>
      <w:r>
        <w:rPr>
          <w:rFonts w:ascii="宋体" w:hAnsi="宋体"/>
          <w:sz w:val="24"/>
        </w:rPr>
        <w:t>201</w:t>
      </w:r>
      <w:r>
        <w:rPr>
          <w:rFonts w:hint="eastAsia" w:ascii="宋体" w:hAnsi="宋体"/>
          <w:sz w:val="24"/>
        </w:rPr>
        <w:t>8年</w:t>
      </w:r>
      <w:r>
        <w:rPr>
          <w:rFonts w:ascii="宋体" w:hAnsi="宋体"/>
          <w:sz w:val="24"/>
        </w:rPr>
        <w:t>5</w:t>
      </w:r>
      <w:r>
        <w:rPr>
          <w:rFonts w:hint="eastAsia" w:ascii="宋体" w:hAnsi="宋体"/>
          <w:sz w:val="24"/>
        </w:rPr>
        <w:t>月30日前将学位型博士生</w:t>
      </w:r>
      <w:r>
        <w:rPr>
          <w:rFonts w:hint="eastAsia"/>
          <w:sz w:val="24"/>
        </w:rPr>
        <w:t>拟录取情况报研究生院。由</w:t>
      </w:r>
      <w:r>
        <w:rPr>
          <w:rFonts w:hint="eastAsia" w:ascii="宋体" w:hAnsi="宋体"/>
          <w:sz w:val="24"/>
        </w:rPr>
        <w:t>研究生院审查合格后，学校与拟录取人员签订《同济大学招收学位型博士研究生协议书》，发放《同济大学博士研究生录取通知书》。</w:t>
      </w:r>
    </w:p>
    <w:p>
      <w:pPr>
        <w:spacing w:before="156" w:beforeLines="50"/>
        <w:jc w:val="left"/>
        <w:rPr>
          <w:rFonts w:ascii="宋体" w:cs="Times New Roman"/>
          <w:sz w:val="24"/>
          <w:szCs w:val="24"/>
        </w:rPr>
      </w:pPr>
      <w:r>
        <w:rPr>
          <w:rFonts w:hint="eastAsia" w:ascii="宋体" w:hAnsi="宋体" w:cs="宋体"/>
          <w:sz w:val="24"/>
          <w:szCs w:val="24"/>
        </w:rPr>
        <w:t>五．培养过程</w:t>
      </w:r>
    </w:p>
    <w:p>
      <w:pPr>
        <w:spacing w:before="156" w:beforeLines="50"/>
        <w:jc w:val="left"/>
        <w:rPr>
          <w:rFonts w:ascii="宋体" w:cs="Times New Roman"/>
          <w:sz w:val="24"/>
          <w:szCs w:val="24"/>
        </w:rPr>
      </w:pPr>
      <w:r>
        <w:rPr>
          <w:rFonts w:ascii="宋体" w:hAnsi="宋体" w:cs="宋体"/>
          <w:sz w:val="24"/>
          <w:szCs w:val="24"/>
        </w:rPr>
        <w:t xml:space="preserve">1. </w:t>
      </w:r>
      <w:r>
        <w:rPr>
          <w:rFonts w:hint="eastAsia" w:ascii="宋体" w:hAnsi="宋体" w:cs="宋体"/>
          <w:sz w:val="24"/>
          <w:szCs w:val="24"/>
        </w:rPr>
        <w:t>课程学习</w:t>
      </w:r>
    </w:p>
    <w:p>
      <w:pPr>
        <w:spacing w:before="156" w:beforeLines="50"/>
        <w:ind w:firstLine="480" w:firstLineChars="200"/>
        <w:jc w:val="left"/>
        <w:rPr>
          <w:rFonts w:ascii="宋体" w:cs="Times New Roman"/>
          <w:sz w:val="24"/>
          <w:szCs w:val="24"/>
        </w:rPr>
      </w:pPr>
      <w:r>
        <w:rPr>
          <w:rFonts w:hint="eastAsia" w:ascii="宋体" w:hAnsi="宋体" w:cs="宋体"/>
          <w:sz w:val="24"/>
          <w:szCs w:val="24"/>
        </w:rPr>
        <w:t>学位型博士生入学后，按照相应学科博士研究生的培养方案，制定个人学习计划，完成公共基础课（由学校统一安排）和专业课程的学习，修满规定的学分。</w:t>
      </w:r>
    </w:p>
    <w:p>
      <w:pPr>
        <w:spacing w:before="156" w:beforeLines="50"/>
        <w:jc w:val="left"/>
        <w:rPr>
          <w:rFonts w:ascii="宋体" w:cs="Times New Roman"/>
          <w:sz w:val="24"/>
          <w:szCs w:val="24"/>
        </w:rPr>
      </w:pPr>
      <w:r>
        <w:rPr>
          <w:rFonts w:ascii="宋体" w:hAnsi="宋体" w:cs="宋体"/>
          <w:sz w:val="24"/>
          <w:szCs w:val="24"/>
        </w:rPr>
        <w:t xml:space="preserve">2. </w:t>
      </w:r>
      <w:r>
        <w:rPr>
          <w:rFonts w:hint="eastAsia" w:ascii="宋体" w:hAnsi="宋体" w:cs="宋体"/>
          <w:sz w:val="24"/>
          <w:szCs w:val="24"/>
        </w:rPr>
        <w:t>论文研究</w:t>
      </w:r>
    </w:p>
    <w:p>
      <w:pPr>
        <w:spacing w:before="156" w:beforeLines="50"/>
        <w:ind w:firstLine="480" w:firstLineChars="200"/>
        <w:jc w:val="left"/>
        <w:rPr>
          <w:rFonts w:ascii="宋体" w:cs="Times New Roman"/>
          <w:sz w:val="24"/>
          <w:szCs w:val="24"/>
        </w:rPr>
      </w:pPr>
      <w:r>
        <w:rPr>
          <w:rFonts w:hint="eastAsia" w:ascii="宋体" w:hAnsi="宋体" w:cs="宋体"/>
          <w:sz w:val="24"/>
          <w:szCs w:val="24"/>
        </w:rPr>
        <w:t>修完课程学分后，在导师的指导下，完成论文开题，论文研究应结合行业发展，与国家的重大工程密切结合，研究成果能解决工程实际问题，为工程实际和行业发展提供支持和帮助。</w:t>
      </w:r>
    </w:p>
    <w:p>
      <w:pPr>
        <w:spacing w:before="156" w:beforeLines="50"/>
        <w:ind w:firstLine="465"/>
        <w:jc w:val="left"/>
        <w:rPr>
          <w:rFonts w:ascii="宋体" w:cs="Times New Roman"/>
          <w:sz w:val="24"/>
          <w:szCs w:val="24"/>
        </w:rPr>
      </w:pPr>
      <w:r>
        <w:rPr>
          <w:rFonts w:hint="eastAsia" w:ascii="宋体" w:hAnsi="宋体" w:cs="宋体"/>
          <w:sz w:val="24"/>
          <w:szCs w:val="24"/>
        </w:rPr>
        <w:t>学位型博士的论文研究和撰写等要求同全日制博士研究生。</w:t>
      </w:r>
    </w:p>
    <w:p>
      <w:pPr>
        <w:spacing w:before="156" w:beforeLines="50"/>
        <w:jc w:val="left"/>
        <w:rPr>
          <w:rFonts w:ascii="宋体" w:cs="Times New Roman"/>
          <w:sz w:val="24"/>
          <w:szCs w:val="24"/>
        </w:rPr>
      </w:pPr>
      <w:r>
        <w:rPr>
          <w:rFonts w:hint="eastAsia" w:ascii="宋体" w:hAnsi="宋体" w:cs="宋体"/>
          <w:sz w:val="24"/>
          <w:szCs w:val="24"/>
        </w:rPr>
        <w:t>六．学位论文答辩</w:t>
      </w:r>
    </w:p>
    <w:p>
      <w:pPr>
        <w:spacing w:before="156" w:beforeLines="50"/>
        <w:jc w:val="lef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学位型博士研究生完成博士论文的撰写后，与全日制博士生同样需经过预答辩、双盲预评审，评阅，最后进行公开答辩。</w:t>
      </w:r>
    </w:p>
    <w:p>
      <w:pPr>
        <w:spacing w:before="156" w:beforeLines="50"/>
        <w:jc w:val="left"/>
        <w:rPr>
          <w:rFonts w:ascii="宋体" w:cs="Times New Roman"/>
          <w:sz w:val="24"/>
          <w:szCs w:val="24"/>
        </w:rPr>
      </w:pPr>
      <w:r>
        <w:rPr>
          <w:rFonts w:hint="eastAsia" w:ascii="宋体" w:hAnsi="宋体" w:cs="宋体"/>
          <w:sz w:val="24"/>
          <w:szCs w:val="24"/>
        </w:rPr>
        <w:t>七．</w:t>
      </w:r>
      <w:r>
        <w:rPr>
          <w:rFonts w:ascii="宋体" w:hAnsi="宋体" w:cs="宋体"/>
          <w:sz w:val="24"/>
          <w:szCs w:val="24"/>
        </w:rPr>
        <w:t xml:space="preserve"> </w:t>
      </w:r>
      <w:r>
        <w:rPr>
          <w:rFonts w:hint="eastAsia" w:ascii="宋体" w:hAnsi="宋体" w:cs="宋体"/>
          <w:sz w:val="24"/>
          <w:szCs w:val="24"/>
        </w:rPr>
        <w:t>学位申请</w:t>
      </w:r>
    </w:p>
    <w:p>
      <w:pPr>
        <w:spacing w:before="156" w:beforeLines="50"/>
        <w:ind w:firstLine="465"/>
        <w:jc w:val="left"/>
        <w:rPr>
          <w:rFonts w:ascii="宋体" w:cs="Times New Roman"/>
          <w:sz w:val="24"/>
          <w:szCs w:val="24"/>
        </w:rPr>
      </w:pPr>
      <w:r>
        <w:rPr>
          <w:rFonts w:hint="eastAsia" w:ascii="宋体" w:hAnsi="宋体" w:cs="宋体"/>
          <w:sz w:val="24"/>
          <w:szCs w:val="24"/>
        </w:rPr>
        <w:t>学位型博士研究生通过论文公开答辩后，达到相应学科博士学位申请要求（学术论文发表要求同全日制博士研究生）后，可以申请工学博士学位。</w:t>
      </w:r>
    </w:p>
    <w:p>
      <w:pPr>
        <w:spacing w:before="156" w:beforeLines="50"/>
        <w:jc w:val="left"/>
        <w:rPr>
          <w:rFonts w:ascii="宋体" w:cs="Times New Roman"/>
          <w:sz w:val="24"/>
          <w:szCs w:val="24"/>
        </w:rPr>
      </w:pPr>
      <w:r>
        <w:rPr>
          <w:rFonts w:hint="eastAsia" w:ascii="宋体" w:hAnsi="宋体" w:cs="宋体"/>
          <w:sz w:val="24"/>
          <w:szCs w:val="24"/>
        </w:rPr>
        <w:t>八．</w:t>
      </w:r>
      <w:r>
        <w:rPr>
          <w:rFonts w:ascii="宋体" w:hAnsi="宋体" w:cs="宋体"/>
          <w:sz w:val="24"/>
          <w:szCs w:val="24"/>
        </w:rPr>
        <w:t xml:space="preserve"> </w:t>
      </w:r>
      <w:r>
        <w:rPr>
          <w:rFonts w:hint="eastAsia" w:ascii="宋体" w:hAnsi="宋体" w:cs="宋体"/>
          <w:sz w:val="24"/>
          <w:szCs w:val="24"/>
        </w:rPr>
        <w:t>学制及收费标准</w:t>
      </w:r>
    </w:p>
    <w:p>
      <w:pPr>
        <w:spacing w:before="156" w:beforeLines="50"/>
        <w:jc w:val="lef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学制四年，根据同济大学学位型博士研究生的学费标准收取学费：</w:t>
      </w:r>
      <w:r>
        <w:rPr>
          <w:rFonts w:ascii="宋体" w:hAnsi="宋体" w:cs="宋体"/>
          <w:sz w:val="24"/>
          <w:szCs w:val="24"/>
        </w:rPr>
        <w:t>2.8</w:t>
      </w:r>
      <w:r>
        <w:rPr>
          <w:rFonts w:hint="eastAsia" w:ascii="宋体" w:hAnsi="宋体" w:cs="宋体"/>
          <w:sz w:val="24"/>
          <w:szCs w:val="24"/>
        </w:rPr>
        <w:t>万元</w:t>
      </w:r>
      <w:r>
        <w:rPr>
          <w:rFonts w:ascii="宋体" w:hAnsi="宋体" w:cs="宋体"/>
          <w:sz w:val="24"/>
          <w:szCs w:val="24"/>
        </w:rPr>
        <w:t>/</w:t>
      </w:r>
      <w:r>
        <w:rPr>
          <w:rFonts w:hint="eastAsia" w:ascii="宋体" w:hAnsi="宋体" w:cs="宋体"/>
          <w:sz w:val="24"/>
          <w:szCs w:val="24"/>
        </w:rPr>
        <w:t>年，按四年计。</w:t>
      </w:r>
    </w:p>
    <w:p>
      <w:pPr>
        <w:spacing w:line="312" w:lineRule="auto"/>
        <w:ind w:left="283" w:leftChars="135" w:right="225" w:rightChars="107" w:firstLine="480" w:firstLineChars="200"/>
        <w:jc w:val="right"/>
        <w:rPr>
          <w:rFonts w:ascii="宋体" w:hAnsi="宋体" w:cs="宋体"/>
          <w:sz w:val="24"/>
          <w:szCs w:val="24"/>
        </w:rPr>
      </w:pPr>
    </w:p>
    <w:p>
      <w:pPr>
        <w:spacing w:line="312" w:lineRule="auto"/>
        <w:ind w:left="283" w:leftChars="135" w:right="225" w:rightChars="107" w:firstLine="480" w:firstLineChars="200"/>
        <w:jc w:val="right"/>
        <w:rPr>
          <w:rFonts w:ascii="宋体" w:hAnsi="宋体" w:cs="宋体"/>
          <w:sz w:val="24"/>
          <w:szCs w:val="24"/>
        </w:rPr>
      </w:pPr>
      <w:r>
        <w:rPr>
          <w:rFonts w:hint="eastAsia" w:ascii="宋体" w:hAnsi="宋体" w:cs="宋体"/>
          <w:sz w:val="24"/>
          <w:szCs w:val="24"/>
        </w:rPr>
        <w:t>材料科学与工程学院</w:t>
      </w:r>
      <w:r>
        <w:rPr>
          <w:rFonts w:ascii="宋体" w:hAnsi="宋体" w:cs="宋体"/>
          <w:sz w:val="24"/>
          <w:szCs w:val="24"/>
        </w:rPr>
        <w:t xml:space="preserve"> </w:t>
      </w:r>
    </w:p>
    <w:p>
      <w:pPr>
        <w:wordWrap w:val="0"/>
        <w:spacing w:line="312" w:lineRule="auto"/>
        <w:ind w:left="283" w:leftChars="135" w:right="225" w:rightChars="107" w:firstLine="480" w:firstLineChars="200"/>
        <w:jc w:val="right"/>
        <w:rPr>
          <w:rFonts w:ascii="宋体" w:hAnsi="宋体" w:cs="宋体"/>
          <w:sz w:val="24"/>
          <w:szCs w:val="24"/>
        </w:rPr>
      </w:pPr>
      <w:r>
        <w:rPr>
          <w:rFonts w:hint="eastAsia" w:ascii="宋体" w:hAnsi="宋体" w:cs="宋体"/>
          <w:sz w:val="24"/>
          <w:szCs w:val="24"/>
        </w:rPr>
        <w:t>201</w:t>
      </w:r>
      <w:r>
        <w:rPr>
          <w:rFonts w:hint="eastAsia" w:ascii="宋体" w:hAnsi="宋体" w:cs="宋体"/>
          <w:sz w:val="24"/>
          <w:szCs w:val="24"/>
          <w:lang w:val="en-US" w:eastAsia="zh-CN"/>
        </w:rPr>
        <w:t>8</w:t>
      </w:r>
      <w:r>
        <w:rPr>
          <w:rFonts w:hint="eastAsia" w:ascii="宋体" w:hAnsi="宋体" w:cs="宋体"/>
          <w:sz w:val="24"/>
          <w:szCs w:val="24"/>
        </w:rPr>
        <w:t>年2月1</w:t>
      </w:r>
      <w:bookmarkStart w:id="1" w:name="_GoBack"/>
      <w:bookmarkEnd w:id="1"/>
      <w:r>
        <w:rPr>
          <w:rFonts w:hint="eastAsia" w:ascii="宋体" w:hAnsi="宋体" w:cs="宋体"/>
          <w:sz w:val="24"/>
          <w:szCs w:val="24"/>
        </w:rPr>
        <w:t xml:space="preserve">日 </w:t>
      </w:r>
    </w:p>
    <w:sectPr>
      <w:footerReference r:id="rId3" w:type="default"/>
      <w:pgSz w:w="11906" w:h="16838"/>
      <w:pgMar w:top="1135" w:right="1416" w:bottom="85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琀.琀.">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cs="Times New Roman"/>
      </w:rPr>
    </w:pPr>
    <w:r>
      <w:fldChar w:fldCharType="begin"/>
    </w:r>
    <w:r>
      <w:instrText xml:space="preserve">PAGE   \* MERGEFORMAT</w:instrText>
    </w:r>
    <w:r>
      <w:fldChar w:fldCharType="separate"/>
    </w:r>
    <w:r>
      <w:rPr>
        <w:lang w:val="zh-CN"/>
      </w:rPr>
      <w:t>2</w:t>
    </w:r>
    <w:r>
      <w:rPr>
        <w:lang w:val="zh-CN"/>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401"/>
    <w:rsid w:val="00011853"/>
    <w:rsid w:val="00021FE2"/>
    <w:rsid w:val="000221DD"/>
    <w:rsid w:val="00034A96"/>
    <w:rsid w:val="00053BE0"/>
    <w:rsid w:val="00060148"/>
    <w:rsid w:val="0006124A"/>
    <w:rsid w:val="00064131"/>
    <w:rsid w:val="00075E82"/>
    <w:rsid w:val="00081038"/>
    <w:rsid w:val="00082011"/>
    <w:rsid w:val="000B1965"/>
    <w:rsid w:val="000B7184"/>
    <w:rsid w:val="000D2D9B"/>
    <w:rsid w:val="000E0ED8"/>
    <w:rsid w:val="000E3A07"/>
    <w:rsid w:val="0011076C"/>
    <w:rsid w:val="00141DC8"/>
    <w:rsid w:val="00147BDE"/>
    <w:rsid w:val="00161C59"/>
    <w:rsid w:val="0016734C"/>
    <w:rsid w:val="00174E1A"/>
    <w:rsid w:val="001775EB"/>
    <w:rsid w:val="001808D0"/>
    <w:rsid w:val="00181636"/>
    <w:rsid w:val="001833E5"/>
    <w:rsid w:val="00184756"/>
    <w:rsid w:val="0019085E"/>
    <w:rsid w:val="00196F38"/>
    <w:rsid w:val="001C23A6"/>
    <w:rsid w:val="001C3329"/>
    <w:rsid w:val="001E22DD"/>
    <w:rsid w:val="0022045F"/>
    <w:rsid w:val="00241496"/>
    <w:rsid w:val="00244BC9"/>
    <w:rsid w:val="0027003D"/>
    <w:rsid w:val="002714D0"/>
    <w:rsid w:val="0029075D"/>
    <w:rsid w:val="002A08B8"/>
    <w:rsid w:val="002C0DBC"/>
    <w:rsid w:val="002C2FD7"/>
    <w:rsid w:val="002C6169"/>
    <w:rsid w:val="002C6B0A"/>
    <w:rsid w:val="00321369"/>
    <w:rsid w:val="003225F8"/>
    <w:rsid w:val="00350525"/>
    <w:rsid w:val="00350889"/>
    <w:rsid w:val="00350EFB"/>
    <w:rsid w:val="00354030"/>
    <w:rsid w:val="00356E6B"/>
    <w:rsid w:val="00362449"/>
    <w:rsid w:val="00373286"/>
    <w:rsid w:val="00377072"/>
    <w:rsid w:val="00382D8A"/>
    <w:rsid w:val="0039491C"/>
    <w:rsid w:val="003C6CD0"/>
    <w:rsid w:val="003D166D"/>
    <w:rsid w:val="003D3906"/>
    <w:rsid w:val="003E547A"/>
    <w:rsid w:val="003F5F0E"/>
    <w:rsid w:val="003F7961"/>
    <w:rsid w:val="004060DC"/>
    <w:rsid w:val="004070ED"/>
    <w:rsid w:val="00412672"/>
    <w:rsid w:val="00431E73"/>
    <w:rsid w:val="00437377"/>
    <w:rsid w:val="0045466B"/>
    <w:rsid w:val="004568D1"/>
    <w:rsid w:val="004568DB"/>
    <w:rsid w:val="00495E24"/>
    <w:rsid w:val="004974CB"/>
    <w:rsid w:val="004A05F1"/>
    <w:rsid w:val="004A2E62"/>
    <w:rsid w:val="004B40B1"/>
    <w:rsid w:val="004D07BD"/>
    <w:rsid w:val="004D0E96"/>
    <w:rsid w:val="004D59E8"/>
    <w:rsid w:val="005055E0"/>
    <w:rsid w:val="005223F3"/>
    <w:rsid w:val="0053304F"/>
    <w:rsid w:val="0056092F"/>
    <w:rsid w:val="00560AC2"/>
    <w:rsid w:val="0057342A"/>
    <w:rsid w:val="005819D1"/>
    <w:rsid w:val="00587C63"/>
    <w:rsid w:val="005916CD"/>
    <w:rsid w:val="005A361A"/>
    <w:rsid w:val="005D1F81"/>
    <w:rsid w:val="005E6B1B"/>
    <w:rsid w:val="005E7B64"/>
    <w:rsid w:val="00601539"/>
    <w:rsid w:val="006136E9"/>
    <w:rsid w:val="00615543"/>
    <w:rsid w:val="00623AFC"/>
    <w:rsid w:val="006363EC"/>
    <w:rsid w:val="00671BF6"/>
    <w:rsid w:val="0067352D"/>
    <w:rsid w:val="00691624"/>
    <w:rsid w:val="0069263F"/>
    <w:rsid w:val="006C495F"/>
    <w:rsid w:val="006D0FA9"/>
    <w:rsid w:val="006F787C"/>
    <w:rsid w:val="00701218"/>
    <w:rsid w:val="00701C84"/>
    <w:rsid w:val="0071599A"/>
    <w:rsid w:val="00734A16"/>
    <w:rsid w:val="007351B4"/>
    <w:rsid w:val="00743C3E"/>
    <w:rsid w:val="00766E4D"/>
    <w:rsid w:val="0077545C"/>
    <w:rsid w:val="00784815"/>
    <w:rsid w:val="00790B39"/>
    <w:rsid w:val="007A3DC6"/>
    <w:rsid w:val="007B384A"/>
    <w:rsid w:val="007D5CDE"/>
    <w:rsid w:val="007F7941"/>
    <w:rsid w:val="00843042"/>
    <w:rsid w:val="008527A4"/>
    <w:rsid w:val="00853729"/>
    <w:rsid w:val="00861BC4"/>
    <w:rsid w:val="00863E74"/>
    <w:rsid w:val="0086606B"/>
    <w:rsid w:val="00870AD2"/>
    <w:rsid w:val="008740D6"/>
    <w:rsid w:val="00875309"/>
    <w:rsid w:val="008766D8"/>
    <w:rsid w:val="008970CD"/>
    <w:rsid w:val="008A26BD"/>
    <w:rsid w:val="008F25BB"/>
    <w:rsid w:val="009231D5"/>
    <w:rsid w:val="00935BA4"/>
    <w:rsid w:val="00946386"/>
    <w:rsid w:val="009468CA"/>
    <w:rsid w:val="00961B1C"/>
    <w:rsid w:val="00964250"/>
    <w:rsid w:val="0099250D"/>
    <w:rsid w:val="00996A94"/>
    <w:rsid w:val="009A220F"/>
    <w:rsid w:val="009E6FBF"/>
    <w:rsid w:val="00A047A3"/>
    <w:rsid w:val="00A14DC0"/>
    <w:rsid w:val="00A14FE0"/>
    <w:rsid w:val="00A252C8"/>
    <w:rsid w:val="00A36E41"/>
    <w:rsid w:val="00A456CA"/>
    <w:rsid w:val="00A47A7B"/>
    <w:rsid w:val="00A51EE5"/>
    <w:rsid w:val="00A65BF5"/>
    <w:rsid w:val="00A67338"/>
    <w:rsid w:val="00A72031"/>
    <w:rsid w:val="00A848B6"/>
    <w:rsid w:val="00A91AA2"/>
    <w:rsid w:val="00AC0982"/>
    <w:rsid w:val="00AC4839"/>
    <w:rsid w:val="00AC7131"/>
    <w:rsid w:val="00AF3EEF"/>
    <w:rsid w:val="00B01C16"/>
    <w:rsid w:val="00B24401"/>
    <w:rsid w:val="00B63A5C"/>
    <w:rsid w:val="00B66387"/>
    <w:rsid w:val="00B93EDC"/>
    <w:rsid w:val="00BD05EE"/>
    <w:rsid w:val="00BD3636"/>
    <w:rsid w:val="00BE2C96"/>
    <w:rsid w:val="00BE33CD"/>
    <w:rsid w:val="00BF310F"/>
    <w:rsid w:val="00C25397"/>
    <w:rsid w:val="00C27CA7"/>
    <w:rsid w:val="00C41CA1"/>
    <w:rsid w:val="00C43F4F"/>
    <w:rsid w:val="00C65A5A"/>
    <w:rsid w:val="00C752E6"/>
    <w:rsid w:val="00C81763"/>
    <w:rsid w:val="00C855E4"/>
    <w:rsid w:val="00C915BA"/>
    <w:rsid w:val="00C93154"/>
    <w:rsid w:val="00C948F7"/>
    <w:rsid w:val="00CE1C70"/>
    <w:rsid w:val="00CF6F9B"/>
    <w:rsid w:val="00D33516"/>
    <w:rsid w:val="00D422F1"/>
    <w:rsid w:val="00D4268E"/>
    <w:rsid w:val="00D517B5"/>
    <w:rsid w:val="00D60CF7"/>
    <w:rsid w:val="00D666D2"/>
    <w:rsid w:val="00D714FF"/>
    <w:rsid w:val="00D727B9"/>
    <w:rsid w:val="00D7569E"/>
    <w:rsid w:val="00DA197F"/>
    <w:rsid w:val="00DB6E0F"/>
    <w:rsid w:val="00DE2301"/>
    <w:rsid w:val="00E00941"/>
    <w:rsid w:val="00E337FD"/>
    <w:rsid w:val="00E41853"/>
    <w:rsid w:val="00E57700"/>
    <w:rsid w:val="00E66B98"/>
    <w:rsid w:val="00E9411E"/>
    <w:rsid w:val="00E955A1"/>
    <w:rsid w:val="00EA297C"/>
    <w:rsid w:val="00EE23BA"/>
    <w:rsid w:val="00EF2BC4"/>
    <w:rsid w:val="00EF7AB1"/>
    <w:rsid w:val="00F0494F"/>
    <w:rsid w:val="00F24128"/>
    <w:rsid w:val="00F50D57"/>
    <w:rsid w:val="00F515BF"/>
    <w:rsid w:val="00F60D06"/>
    <w:rsid w:val="00F62084"/>
    <w:rsid w:val="00F63270"/>
    <w:rsid w:val="00F65AAB"/>
    <w:rsid w:val="00F773FD"/>
    <w:rsid w:val="00F83148"/>
    <w:rsid w:val="00F85707"/>
    <w:rsid w:val="00FA7584"/>
    <w:rsid w:val="00FB525F"/>
    <w:rsid w:val="00FC6CBB"/>
    <w:rsid w:val="00FE2602"/>
    <w:rsid w:val="00FE77CD"/>
    <w:rsid w:val="01CD7DD8"/>
    <w:rsid w:val="0FC17FE9"/>
    <w:rsid w:val="164A6117"/>
    <w:rsid w:val="18A95114"/>
    <w:rsid w:val="26CB351C"/>
    <w:rsid w:val="354A5C50"/>
    <w:rsid w:val="37FE62E7"/>
    <w:rsid w:val="5AC03647"/>
    <w:rsid w:val="5B5D23F5"/>
    <w:rsid w:val="69B62289"/>
    <w:rsid w:val="6F866B04"/>
    <w:rsid w:val="74DC26F8"/>
    <w:rsid w:val="7C07005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unhideWhenUsed/>
    <w:qFormat/>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Document Map"/>
    <w:basedOn w:val="1"/>
    <w:link w:val="11"/>
    <w:semiHidden/>
    <w:qFormat/>
    <w:uiPriority w:val="99"/>
    <w:rPr>
      <w:rFonts w:ascii="宋体" w:cs="宋体"/>
      <w:sz w:val="18"/>
      <w:szCs w:val="18"/>
    </w:rPr>
  </w:style>
  <w:style w:type="paragraph" w:styleId="3">
    <w:name w:val="Plain Text"/>
    <w:basedOn w:val="1"/>
    <w:unhideWhenUsed/>
    <w:uiPriority w:val="99"/>
    <w:rPr>
      <w:rFonts w:ascii="宋体" w:hAnsi="Courier New" w:cs="Courier New"/>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列出段落1"/>
    <w:basedOn w:val="1"/>
    <w:qFormat/>
    <w:uiPriority w:val="99"/>
    <w:pPr>
      <w:ind w:firstLine="420" w:firstLineChars="200"/>
    </w:pPr>
  </w:style>
  <w:style w:type="character" w:customStyle="1" w:styleId="9">
    <w:name w:val="页眉 Char"/>
    <w:basedOn w:val="6"/>
    <w:link w:val="5"/>
    <w:qFormat/>
    <w:locked/>
    <w:uiPriority w:val="99"/>
    <w:rPr>
      <w:sz w:val="18"/>
      <w:szCs w:val="18"/>
    </w:rPr>
  </w:style>
  <w:style w:type="character" w:customStyle="1" w:styleId="10">
    <w:name w:val="页脚 Char"/>
    <w:basedOn w:val="6"/>
    <w:link w:val="4"/>
    <w:locked/>
    <w:uiPriority w:val="99"/>
    <w:rPr>
      <w:sz w:val="18"/>
      <w:szCs w:val="18"/>
    </w:rPr>
  </w:style>
  <w:style w:type="character" w:customStyle="1" w:styleId="11">
    <w:name w:val="文档结构图 Char"/>
    <w:basedOn w:val="6"/>
    <w:link w:val="2"/>
    <w:semiHidden/>
    <w:locked/>
    <w:uiPriority w:val="99"/>
    <w:rPr>
      <w:rFonts w:ascii="宋体" w:cs="宋体"/>
      <w:sz w:val="18"/>
      <w:szCs w:val="18"/>
    </w:rPr>
  </w:style>
  <w:style w:type="paragraph" w:customStyle="1" w:styleId="12">
    <w:name w:val="Default"/>
    <w:qFormat/>
    <w:uiPriority w:val="0"/>
    <w:pPr>
      <w:widowControl w:val="0"/>
      <w:autoSpaceDE w:val="0"/>
      <w:autoSpaceDN w:val="0"/>
      <w:adjustRightInd w:val="0"/>
    </w:pPr>
    <w:rPr>
      <w:rFonts w:ascii="楷体.琀.琀." w:eastAsia="楷体.琀.琀." w:cs="楷体.琀.琀." w:hAnsiTheme="minorHAnsi"/>
      <w:color w:val="000000"/>
      <w:sz w:val="24"/>
      <w:szCs w:val="24"/>
      <w:lang w:val="en-US" w:eastAsia="zh-CN" w:bidi="ar-SA"/>
    </w:rPr>
  </w:style>
  <w:style w:type="paragraph" w:customStyle="1" w:styleId="13">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同济大学医学院</Company>
  <Pages>3</Pages>
  <Words>329</Words>
  <Characters>1881</Characters>
  <Lines>15</Lines>
  <Paragraphs>4</Paragraphs>
  <TotalTime>0</TotalTime>
  <ScaleCrop>false</ScaleCrop>
  <LinksUpToDate>false</LinksUpToDate>
  <CharactersWithSpaces>2206</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2016-11-30T01:18:00Z</dcterms:created>
  <dc:creator>李萍</dc:creator>
  <cp:lastModifiedBy>Yuanyijie</cp:lastModifiedBy>
  <cp:lastPrinted>2012-06-29T01:57:00Z</cp:lastPrinted>
  <dcterms:modified xsi:type="dcterms:W3CDTF">2018-02-05T02:20:34Z</dcterms:modified>
  <dc:title>关于做好推荐同等学力博士研究生工作的通知</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